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A" w:rsidRPr="00D82024" w:rsidRDefault="00AA07DD" w:rsidP="00946B3A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Umbygging</w:t>
      </w:r>
      <w:r w:rsidR="00506CF9">
        <w:rPr>
          <w:b/>
          <w:sz w:val="44"/>
          <w:szCs w:val="44"/>
        </w:rPr>
        <w:t xml:space="preserve"> og útskifting</w:t>
      </w:r>
    </w:p>
    <w:p w:rsidR="00942789" w:rsidRDefault="00EE1DC7" w:rsidP="00942789">
      <w:r>
        <w:t>S</w:t>
      </w:r>
      <w:r w:rsidR="00942789">
        <w:t>et teg í samband við Sands Kommunu,</w:t>
      </w:r>
      <w:r>
        <w:t xml:space="preserve"> um talan er um umbygging og útskifting, </w:t>
      </w:r>
      <w:r w:rsidR="00942789">
        <w:t xml:space="preserve"> so f</w:t>
      </w:r>
      <w:r w:rsidR="00CF2B76">
        <w:t>yrireikandi fundur um umbyggingina/útskiftingina</w:t>
      </w:r>
      <w:r>
        <w:t xml:space="preserve"> kann avtalast</w:t>
      </w:r>
      <w:r w:rsidR="00942789">
        <w:t>.</w:t>
      </w:r>
    </w:p>
    <w:p w:rsidR="00942789" w:rsidRDefault="00942789" w:rsidP="00942789">
      <w:r>
        <w:t>Á fundinum verður avtala</w:t>
      </w:r>
      <w:r w:rsidR="009D28C0">
        <w:t>ð</w:t>
      </w:r>
      <w:r w:rsidR="00EE1DC7">
        <w:t>,</w:t>
      </w:r>
      <w:r>
        <w:t xml:space="preserve"> hvussu farast skal víðari fram, og hvat skjalatilfar</w:t>
      </w:r>
      <w:r w:rsidR="00EE1DC7">
        <w:t>,</w:t>
      </w:r>
      <w:r>
        <w:t xml:space="preserve"> tekningar v.m.  skal latast inn í sambandi við byggimálsviðgerðina.</w:t>
      </w:r>
    </w:p>
    <w:p w:rsidR="00DC104C" w:rsidRDefault="00DC104C" w:rsidP="00BA261C">
      <w:r w:rsidRPr="00DC104C">
        <w:rPr>
          <w:b/>
        </w:rPr>
        <w:t>Umbygging kann vera t.d.:</w:t>
      </w:r>
    </w:p>
    <w:p w:rsidR="00DC104C" w:rsidRDefault="00BA261C" w:rsidP="00DC104C">
      <w:pPr>
        <w:pStyle w:val="Listeafsnit"/>
        <w:numPr>
          <w:ilvl w:val="0"/>
          <w:numId w:val="8"/>
        </w:numPr>
      </w:pPr>
      <w:r>
        <w:t>at skifta tekjuna</w:t>
      </w:r>
    </w:p>
    <w:p w:rsidR="00DC104C" w:rsidRDefault="00BA261C" w:rsidP="00DC104C">
      <w:pPr>
        <w:pStyle w:val="Listeafsnit"/>
        <w:numPr>
          <w:ilvl w:val="0"/>
          <w:numId w:val="8"/>
        </w:numPr>
      </w:pPr>
      <w:r>
        <w:t>skif</w:t>
      </w:r>
      <w:r w:rsidR="00DC104C">
        <w:t>ta klædningsbettir á útvegginum</w:t>
      </w:r>
    </w:p>
    <w:p w:rsidR="00BA261C" w:rsidRDefault="00BA261C" w:rsidP="00DC104C">
      <w:pPr>
        <w:pStyle w:val="Listeafsnit"/>
        <w:numPr>
          <w:ilvl w:val="0"/>
          <w:numId w:val="8"/>
        </w:numPr>
      </w:pPr>
      <w:r>
        <w:t>skifta gól</w:t>
      </w:r>
      <w:r w:rsidR="00E160A8">
        <w:t>v</w:t>
      </w:r>
      <w:r>
        <w:t>plátur/brettir</w:t>
      </w:r>
    </w:p>
    <w:p w:rsidR="00DC104C" w:rsidRDefault="00292A29" w:rsidP="00BA261C">
      <w:r w:rsidRPr="00292A29">
        <w:rPr>
          <w:b/>
        </w:rPr>
        <w:t>Útskifting</w:t>
      </w:r>
      <w:r w:rsidR="00236210">
        <w:rPr>
          <w:b/>
        </w:rPr>
        <w:t xml:space="preserve"> </w:t>
      </w:r>
      <w:r w:rsidR="00DC104C">
        <w:rPr>
          <w:b/>
        </w:rPr>
        <w:t>kann verða t.d.</w:t>
      </w:r>
      <w:r w:rsidRPr="00292A29">
        <w:rPr>
          <w:b/>
        </w:rPr>
        <w:t>:</w:t>
      </w:r>
      <w:r w:rsidR="00BA261C" w:rsidRPr="002F12D9">
        <w:t xml:space="preserve"> </w:t>
      </w:r>
    </w:p>
    <w:p w:rsidR="00DC104C" w:rsidRDefault="00BA261C" w:rsidP="00DC104C">
      <w:pPr>
        <w:pStyle w:val="Listeafsnit"/>
        <w:numPr>
          <w:ilvl w:val="0"/>
          <w:numId w:val="9"/>
        </w:numPr>
      </w:pPr>
      <w:r w:rsidRPr="002F12D9">
        <w:t xml:space="preserve">at </w:t>
      </w:r>
      <w:r w:rsidR="005200E1">
        <w:t xml:space="preserve">skifta </w:t>
      </w:r>
      <w:r w:rsidR="0060463F">
        <w:t>partar av framsíðu á sethúsum</w:t>
      </w:r>
    </w:p>
    <w:p w:rsidR="00BA261C" w:rsidRDefault="00BA261C" w:rsidP="00DC104C">
      <w:pPr>
        <w:pStyle w:val="Listeafsnit"/>
        <w:numPr>
          <w:ilvl w:val="0"/>
          <w:numId w:val="9"/>
        </w:numPr>
      </w:pPr>
      <w:r w:rsidRPr="002F12D9">
        <w:t>gera nýggja takkonstruktión við nýggjum sperrum, bjálving og loftum</w:t>
      </w:r>
      <w:r>
        <w:t>.</w:t>
      </w:r>
    </w:p>
    <w:p w:rsidR="0041359B" w:rsidRDefault="0041359B" w:rsidP="00DC104C">
      <w:pPr>
        <w:pStyle w:val="Listeafsnit"/>
        <w:numPr>
          <w:ilvl w:val="0"/>
          <w:numId w:val="9"/>
        </w:numPr>
      </w:pPr>
      <w:r>
        <w:t>Skifta upphitingarútbúna</w:t>
      </w:r>
    </w:p>
    <w:p w:rsidR="00DC104C" w:rsidRDefault="006E3A59" w:rsidP="00BA261C">
      <w:r>
        <w:t xml:space="preserve">Er talan </w:t>
      </w:r>
      <w:r w:rsidR="00CF2B76">
        <w:t xml:space="preserve">einans </w:t>
      </w:r>
      <w:r>
        <w:t xml:space="preserve">um útskifting av einkultum bygningslutum, </w:t>
      </w:r>
      <w:r w:rsidR="00CF2B76">
        <w:t xml:space="preserve">sum </w:t>
      </w:r>
      <w:r w:rsidR="007217B9">
        <w:t>t.d. vindeyga ella úthurð</w:t>
      </w:r>
      <w:r w:rsidR="00CF2B76">
        <w:t>,</w:t>
      </w:r>
      <w:r>
        <w:t xml:space="preserve"> er </w:t>
      </w:r>
      <w:r w:rsidR="007217B9">
        <w:t xml:space="preserve">bert </w:t>
      </w:r>
      <w:r>
        <w:t>neyðugt við</w:t>
      </w:r>
      <w:r w:rsidR="00DC104C">
        <w:t>:</w:t>
      </w:r>
    </w:p>
    <w:p w:rsidR="00DC104C" w:rsidRDefault="00DC104C" w:rsidP="00DC104C">
      <w:pPr>
        <w:pStyle w:val="Listeafsnit"/>
        <w:numPr>
          <w:ilvl w:val="0"/>
          <w:numId w:val="10"/>
        </w:numPr>
      </w:pPr>
      <w:r>
        <w:t>skjalprógvi</w:t>
      </w:r>
      <w:r w:rsidR="009D28C0">
        <w:t>ð</w:t>
      </w:r>
      <w:r>
        <w:t xml:space="preserve"> uppá </w:t>
      </w:r>
      <w:r w:rsidR="006E3A59">
        <w:t>at vindeyga ella hurðin standa minstukrøv til hitatap</w:t>
      </w:r>
      <w:r w:rsidR="00CF2B76">
        <w:t xml:space="preserve"> </w:t>
      </w:r>
      <w:r w:rsidR="006E3A59">
        <w:t xml:space="preserve"> </w:t>
      </w:r>
      <w:r w:rsidR="009D28C0">
        <w:t>(fæst frá veitara)</w:t>
      </w:r>
      <w:r w:rsidR="006E3A59">
        <w:t xml:space="preserve"> </w:t>
      </w:r>
    </w:p>
    <w:p w:rsidR="00CF2B76" w:rsidRDefault="00565888" w:rsidP="00DC104C">
      <w:pPr>
        <w:pStyle w:val="Listeafsnit"/>
        <w:numPr>
          <w:ilvl w:val="0"/>
          <w:numId w:val="10"/>
        </w:numPr>
      </w:pPr>
      <w:r>
        <w:t>frágreiðing</w:t>
      </w:r>
      <w:r w:rsidR="00DC104C">
        <w:t xml:space="preserve"> uppá íseing</w:t>
      </w:r>
      <w:r w:rsidR="006E3A59">
        <w:t xml:space="preserve"> og tetting uttanum</w:t>
      </w:r>
      <w:r w:rsidR="00DC104C">
        <w:t>, vegna minstukrøv til hitatap</w:t>
      </w:r>
      <w:r w:rsidR="009D28C0">
        <w:t xml:space="preserve"> (tekningar)</w:t>
      </w:r>
    </w:p>
    <w:p w:rsidR="006E3A59" w:rsidRDefault="00DC104C" w:rsidP="00DC104C">
      <w:pPr>
        <w:pStyle w:val="Listeafsnit"/>
        <w:numPr>
          <w:ilvl w:val="0"/>
          <w:numId w:val="10"/>
        </w:numPr>
      </w:pPr>
      <w:r>
        <w:t>loysn uppá</w:t>
      </w:r>
      <w:r w:rsidR="00CF2B76">
        <w:t xml:space="preserve"> </w:t>
      </w:r>
      <w:r w:rsidR="007217B9">
        <w:t>møgulig brunakrøv</w:t>
      </w:r>
      <w:r w:rsidR="00565888">
        <w:t>, sum</w:t>
      </w:r>
      <w:r w:rsidR="00CF2B76">
        <w:t xml:space="preserve"> rýmingarop og rýmingardyr </w:t>
      </w:r>
      <w:r w:rsidR="006E3A59">
        <w:t xml:space="preserve"> </w:t>
      </w:r>
      <w:r w:rsidR="009D28C0">
        <w:t>(frágreiðing tekningar)</w:t>
      </w:r>
    </w:p>
    <w:p w:rsidR="007217B9" w:rsidRPr="002F12D9" w:rsidRDefault="007217B9" w:rsidP="00BA261C"/>
    <w:p w:rsidR="00946B3A" w:rsidRDefault="009D28C0" w:rsidP="00946B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Neyðugt skjalatilfar og tekningar annars</w:t>
      </w:r>
    </w:p>
    <w:p w:rsidR="00946B3A" w:rsidRPr="00946B3A" w:rsidRDefault="00506CF9" w:rsidP="00946B3A">
      <w:pPr>
        <w:rPr>
          <w:sz w:val="24"/>
          <w:szCs w:val="24"/>
        </w:rPr>
      </w:pPr>
      <w:r>
        <w:rPr>
          <w:sz w:val="24"/>
          <w:szCs w:val="24"/>
        </w:rPr>
        <w:t>Alt eftir hvat arbeiði</w:t>
      </w:r>
      <w:r w:rsidR="00942789">
        <w:rPr>
          <w:sz w:val="24"/>
          <w:szCs w:val="24"/>
        </w:rPr>
        <w:t xml:space="preserve"> </w:t>
      </w:r>
      <w:r w:rsidR="00946B3A">
        <w:rPr>
          <w:sz w:val="24"/>
          <w:szCs w:val="24"/>
        </w:rPr>
        <w:t xml:space="preserve">snýr seg um, verður neyðugt at lata </w:t>
      </w:r>
      <w:r w:rsidR="00EE1DC7">
        <w:rPr>
          <w:sz w:val="24"/>
          <w:szCs w:val="24"/>
        </w:rPr>
        <w:t>tilfar inn</w:t>
      </w:r>
      <w:r w:rsidR="00942789">
        <w:rPr>
          <w:sz w:val="24"/>
          <w:szCs w:val="24"/>
        </w:rPr>
        <w:t>, ið</w:t>
      </w:r>
      <w:r w:rsidR="00946B3A">
        <w:rPr>
          <w:sz w:val="24"/>
          <w:szCs w:val="24"/>
        </w:rPr>
        <w:t xml:space="preserve"> lýsir </w:t>
      </w:r>
      <w:r w:rsidR="00927062">
        <w:rPr>
          <w:sz w:val="24"/>
          <w:szCs w:val="24"/>
        </w:rPr>
        <w:t>arbeiði</w:t>
      </w:r>
      <w:r w:rsidR="00942789">
        <w:rPr>
          <w:sz w:val="24"/>
          <w:szCs w:val="24"/>
        </w:rPr>
        <w:t>ð</w:t>
      </w:r>
      <w:r w:rsidR="00AA07DD">
        <w:rPr>
          <w:sz w:val="24"/>
          <w:szCs w:val="24"/>
        </w:rPr>
        <w:t xml:space="preserve"> við atliti til verandi byg</w:t>
      </w:r>
      <w:r w:rsidR="00942789">
        <w:rPr>
          <w:sz w:val="24"/>
          <w:szCs w:val="24"/>
        </w:rPr>
        <w:t>ning, og tað</w:t>
      </w:r>
      <w:r w:rsidR="00AA07DD">
        <w:rPr>
          <w:sz w:val="24"/>
          <w:szCs w:val="24"/>
        </w:rPr>
        <w:t xml:space="preserve"> </w:t>
      </w:r>
      <w:r w:rsidR="00BA5BD3">
        <w:rPr>
          <w:sz w:val="24"/>
          <w:szCs w:val="24"/>
        </w:rPr>
        <w:t xml:space="preserve">sum </w:t>
      </w:r>
      <w:r w:rsidR="00942789">
        <w:rPr>
          <w:sz w:val="24"/>
          <w:szCs w:val="24"/>
        </w:rPr>
        <w:t>u</w:t>
      </w:r>
      <w:r w:rsidR="00BA261C">
        <w:rPr>
          <w:sz w:val="24"/>
          <w:szCs w:val="24"/>
        </w:rPr>
        <w:t>mbyggingin</w:t>
      </w:r>
      <w:r w:rsidR="00927062">
        <w:rPr>
          <w:sz w:val="24"/>
          <w:szCs w:val="24"/>
        </w:rPr>
        <w:t xml:space="preserve"> ella útskiftingin </w:t>
      </w:r>
      <w:r w:rsidR="00AA07DD">
        <w:rPr>
          <w:sz w:val="24"/>
          <w:szCs w:val="24"/>
        </w:rPr>
        <w:t>umfatar. Neyðugt tilfar kann vera sum niðanfyri, ella verða partur av tilfarinum.</w:t>
      </w:r>
    </w:p>
    <w:p w:rsidR="00946B3A" w:rsidRPr="00732804" w:rsidRDefault="009D28C0" w:rsidP="00946B3A">
      <w:pPr>
        <w:rPr>
          <w:b/>
        </w:rPr>
      </w:pPr>
      <w:r>
        <w:rPr>
          <w:b/>
        </w:rPr>
        <w:t>Skjøl</w:t>
      </w:r>
      <w:r w:rsidR="00946B3A" w:rsidRPr="00732804">
        <w:rPr>
          <w:b/>
        </w:rPr>
        <w:t>:</w:t>
      </w:r>
    </w:p>
    <w:p w:rsidR="00946B3A" w:rsidRDefault="00946B3A" w:rsidP="00946B3A">
      <w:pPr>
        <w:pStyle w:val="Listeafsnit"/>
        <w:numPr>
          <w:ilvl w:val="0"/>
          <w:numId w:val="1"/>
        </w:numPr>
      </w:pPr>
      <w:r>
        <w:t>Umsókn ella umsóknarblað</w:t>
      </w:r>
    </w:p>
    <w:p w:rsidR="00946B3A" w:rsidRDefault="00946B3A" w:rsidP="00946B3A">
      <w:pPr>
        <w:pStyle w:val="Listeafsnit"/>
        <w:numPr>
          <w:ilvl w:val="0"/>
          <w:numId w:val="1"/>
        </w:numPr>
      </w:pPr>
      <w:r>
        <w:t>Avrit av skeyti við byrðum/servituttum</w:t>
      </w:r>
    </w:p>
    <w:p w:rsidR="00927062" w:rsidRPr="00927062" w:rsidRDefault="00927062" w:rsidP="00927062">
      <w:pPr>
        <w:rPr>
          <w:b/>
        </w:rPr>
      </w:pPr>
      <w:r w:rsidRPr="00927062">
        <w:rPr>
          <w:b/>
        </w:rPr>
        <w:t>Frágreiðingar:</w:t>
      </w:r>
    </w:p>
    <w:p w:rsidR="00927062" w:rsidRDefault="00927062" w:rsidP="00927062">
      <w:pPr>
        <w:pStyle w:val="Listeafsnit"/>
        <w:numPr>
          <w:ilvl w:val="0"/>
          <w:numId w:val="7"/>
        </w:numPr>
      </w:pPr>
      <w:r>
        <w:t>Frágreiðing ið lýsir umbyggingina í mun til tað verandi</w:t>
      </w:r>
    </w:p>
    <w:p w:rsidR="00927062" w:rsidRDefault="00927062" w:rsidP="00927062">
      <w:pPr>
        <w:pStyle w:val="Listeafsnit"/>
        <w:numPr>
          <w:ilvl w:val="0"/>
          <w:numId w:val="7"/>
        </w:numPr>
      </w:pPr>
      <w:r>
        <w:t>Frágreiðing um tað sum skal skiftast og hvat tilfar skal nýtast ístaðin</w:t>
      </w:r>
    </w:p>
    <w:p w:rsidR="00DC104C" w:rsidRDefault="00DC104C" w:rsidP="00946B3A">
      <w:pPr>
        <w:rPr>
          <w:b/>
        </w:rPr>
      </w:pPr>
    </w:p>
    <w:p w:rsidR="00DC104C" w:rsidRDefault="00DC104C" w:rsidP="00946B3A">
      <w:pPr>
        <w:rPr>
          <w:b/>
        </w:rPr>
      </w:pPr>
    </w:p>
    <w:p w:rsidR="00DC104C" w:rsidRDefault="00DC104C" w:rsidP="00946B3A">
      <w:pPr>
        <w:rPr>
          <w:b/>
        </w:rPr>
      </w:pPr>
    </w:p>
    <w:p w:rsidR="00946B3A" w:rsidRPr="00732804" w:rsidRDefault="00946B3A" w:rsidP="00946B3A">
      <w:pPr>
        <w:rPr>
          <w:b/>
        </w:rPr>
      </w:pPr>
      <w:r w:rsidRPr="00732804">
        <w:rPr>
          <w:b/>
        </w:rPr>
        <w:t>Tekningar:</w:t>
      </w:r>
    </w:p>
    <w:p w:rsidR="00946B3A" w:rsidRDefault="00946B3A" w:rsidP="00946B3A">
      <w:r>
        <w:t>Støðumynd í hóskandi mátistokki, t.d. 1.500 ella 1:250 sum vísa:</w:t>
      </w:r>
    </w:p>
    <w:p w:rsidR="00946B3A" w:rsidRDefault="00946B3A" w:rsidP="00946B3A">
      <w:pPr>
        <w:pStyle w:val="Listeafsnit"/>
        <w:numPr>
          <w:ilvl w:val="0"/>
          <w:numId w:val="2"/>
        </w:numPr>
      </w:pPr>
      <w:r>
        <w:t>frástøður til mark og hvar møguligar broytingar eru</w:t>
      </w:r>
    </w:p>
    <w:p w:rsidR="00946B3A" w:rsidRDefault="00946B3A" w:rsidP="00946B3A">
      <w:pPr>
        <w:pStyle w:val="Listeafsnit"/>
        <w:numPr>
          <w:ilvl w:val="0"/>
          <w:numId w:val="2"/>
        </w:numPr>
      </w:pPr>
      <w:r>
        <w:t>parkering</w:t>
      </w:r>
      <w:r w:rsidR="00AA07DD">
        <w:t xml:space="preserve"> </w:t>
      </w:r>
    </w:p>
    <w:p w:rsidR="00946B3A" w:rsidRDefault="00946B3A" w:rsidP="00946B3A">
      <w:pPr>
        <w:pStyle w:val="Listeafsnit"/>
        <w:numPr>
          <w:ilvl w:val="0"/>
          <w:numId w:val="2"/>
        </w:numPr>
      </w:pPr>
      <w:r>
        <w:t>ruskílat</w:t>
      </w:r>
      <w:r w:rsidR="00AA07DD">
        <w:t xml:space="preserve">  </w:t>
      </w:r>
    </w:p>
    <w:p w:rsidR="00946B3A" w:rsidRPr="00732804" w:rsidRDefault="00946B3A" w:rsidP="00946B3A">
      <w:r w:rsidRPr="00732804">
        <w:t>Flatmyndir í hóskandi mátistokki, t.d. 1:100 sum vísa</w:t>
      </w:r>
      <w:r>
        <w:t>:</w:t>
      </w:r>
    </w:p>
    <w:p w:rsidR="00946B3A" w:rsidRDefault="00946B3A" w:rsidP="00946B3A">
      <w:pPr>
        <w:pStyle w:val="Listeafsnit"/>
        <w:numPr>
          <w:ilvl w:val="0"/>
          <w:numId w:val="3"/>
        </w:numPr>
      </w:pPr>
      <w:r>
        <w:t xml:space="preserve">mát </w:t>
      </w:r>
    </w:p>
    <w:p w:rsidR="00946B3A" w:rsidRDefault="00946B3A" w:rsidP="00946B3A">
      <w:pPr>
        <w:pStyle w:val="Listeafsnit"/>
        <w:numPr>
          <w:ilvl w:val="0"/>
          <w:numId w:val="3"/>
        </w:numPr>
      </w:pPr>
      <w:r>
        <w:t>innrætting</w:t>
      </w:r>
    </w:p>
    <w:p w:rsidR="00946B3A" w:rsidRDefault="009205E9" w:rsidP="00946B3A">
      <w:pPr>
        <w:pStyle w:val="Listeafsnit"/>
        <w:numPr>
          <w:ilvl w:val="0"/>
          <w:numId w:val="3"/>
        </w:numPr>
      </w:pPr>
      <w:r>
        <w:t>rýmingarleiðir</w:t>
      </w:r>
    </w:p>
    <w:p w:rsidR="00946B3A" w:rsidRDefault="00946B3A" w:rsidP="00946B3A">
      <w:pPr>
        <w:pStyle w:val="Listeafsnit"/>
        <w:numPr>
          <w:ilvl w:val="0"/>
          <w:numId w:val="3"/>
        </w:numPr>
      </w:pPr>
      <w:r>
        <w:t>kloakskipan</w:t>
      </w:r>
      <w:r w:rsidR="00AA07DD">
        <w:t xml:space="preserve"> </w:t>
      </w:r>
    </w:p>
    <w:p w:rsidR="00946B3A" w:rsidRDefault="00BA5BD3" w:rsidP="00946B3A">
      <w:pPr>
        <w:pStyle w:val="Listeafsnit"/>
        <w:numPr>
          <w:ilvl w:val="0"/>
          <w:numId w:val="3"/>
        </w:numPr>
      </w:pPr>
      <w:r>
        <w:t>luftskifti</w:t>
      </w:r>
    </w:p>
    <w:p w:rsidR="00946B3A" w:rsidRPr="00377843" w:rsidRDefault="00946B3A" w:rsidP="00946B3A">
      <w:p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Síðumyndir í hóskandi mátistokki, t.d. 1:100 sum vísa:</w:t>
      </w:r>
    </w:p>
    <w:p w:rsidR="00946B3A" w:rsidRPr="00377843" w:rsidRDefault="00946B3A" w:rsidP="00946B3A">
      <w:pPr>
        <w:pStyle w:val="Listeafsnit"/>
        <w:numPr>
          <w:ilvl w:val="0"/>
          <w:numId w:val="4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verandi og komandi lendi við kotum</w:t>
      </w:r>
    </w:p>
    <w:p w:rsidR="00946B3A" w:rsidRPr="00377843" w:rsidRDefault="00946B3A" w:rsidP="00946B3A">
      <w:pPr>
        <w:pStyle w:val="Listeafsnit"/>
        <w:numPr>
          <w:ilvl w:val="0"/>
          <w:numId w:val="4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 xml:space="preserve">útsjónd </w:t>
      </w:r>
    </w:p>
    <w:p w:rsidR="00927062" w:rsidRPr="00DC104C" w:rsidRDefault="00EE1DC7" w:rsidP="00946B3A">
      <w:pPr>
        <w:pStyle w:val="Listeafsnit"/>
        <w:numPr>
          <w:ilvl w:val="0"/>
          <w:numId w:val="4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bjarginga</w:t>
      </w:r>
      <w:r w:rsidR="00946B3A" w:rsidRPr="00DC104C">
        <w:rPr>
          <w:rFonts w:ascii="Arial" w:eastAsia="Times New Roman" w:hAnsi="Arial" w:cs="Arial"/>
          <w:sz w:val="21"/>
          <w:szCs w:val="21"/>
          <w:lang w:eastAsia="fo-FO"/>
        </w:rPr>
        <w:t>rop</w:t>
      </w:r>
    </w:p>
    <w:p w:rsidR="00946B3A" w:rsidRPr="00377843" w:rsidRDefault="00946B3A" w:rsidP="00946B3A">
      <w:p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Tvør- og longdarskurðir í hóskandi mátistokki, t.d. 1:50 sum vísa:</w:t>
      </w:r>
    </w:p>
    <w:p w:rsidR="00946B3A" w:rsidRPr="00377843" w:rsidRDefault="00946B3A" w:rsidP="00946B3A">
      <w:pPr>
        <w:pStyle w:val="Listeafsnit"/>
        <w:numPr>
          <w:ilvl w:val="0"/>
          <w:numId w:val="5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tilfarslýsing</w:t>
      </w:r>
    </w:p>
    <w:p w:rsidR="00946B3A" w:rsidRPr="00377843" w:rsidRDefault="00946B3A" w:rsidP="00946B3A">
      <w:pPr>
        <w:pStyle w:val="Listeafsnit"/>
        <w:numPr>
          <w:ilvl w:val="0"/>
          <w:numId w:val="5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hæddarmát</w:t>
      </w:r>
    </w:p>
    <w:p w:rsidR="00946B3A" w:rsidRPr="00377843" w:rsidRDefault="00946B3A" w:rsidP="00946B3A">
      <w:pPr>
        <w:pStyle w:val="Listeafsnit"/>
        <w:numPr>
          <w:ilvl w:val="0"/>
          <w:numId w:val="5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planeringshædd</w:t>
      </w:r>
    </w:p>
    <w:p w:rsidR="00946B3A" w:rsidRDefault="00946B3A" w:rsidP="00946B3A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Sermyndir í hóskandi mátistokki, t.d. 1:10 sum vísa:</w:t>
      </w:r>
    </w:p>
    <w:p w:rsidR="00946B3A" w:rsidRPr="00927062" w:rsidRDefault="00946B3A" w:rsidP="00946B3A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927062">
        <w:rPr>
          <w:rFonts w:ascii="Arial" w:eastAsia="Times New Roman" w:hAnsi="Arial" w:cs="Arial"/>
          <w:sz w:val="21"/>
          <w:szCs w:val="21"/>
          <w:lang w:eastAsia="fo-FO"/>
        </w:rPr>
        <w:t>serligar loysnir</w:t>
      </w:r>
    </w:p>
    <w:p w:rsidR="00946B3A" w:rsidRPr="00810F65" w:rsidRDefault="00946B3A" w:rsidP="00946B3A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 w:rsidRPr="00810F65">
        <w:rPr>
          <w:rFonts w:ascii="Arial" w:eastAsia="Times New Roman" w:hAnsi="Arial" w:cs="Arial"/>
          <w:b/>
          <w:sz w:val="21"/>
          <w:szCs w:val="21"/>
          <w:lang w:eastAsia="fo-FO"/>
        </w:rPr>
        <w:t>Útrokningar</w:t>
      </w:r>
      <w:r>
        <w:rPr>
          <w:rFonts w:ascii="Arial" w:eastAsia="Times New Roman" w:hAnsi="Arial" w:cs="Arial"/>
          <w:b/>
          <w:sz w:val="21"/>
          <w:szCs w:val="21"/>
          <w:lang w:eastAsia="fo-FO"/>
        </w:rPr>
        <w:t>:</w:t>
      </w:r>
    </w:p>
    <w:p w:rsidR="00946B3A" w:rsidRPr="00810F65" w:rsidRDefault="00946B3A" w:rsidP="00946B3A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810F65">
        <w:rPr>
          <w:rFonts w:ascii="Arial" w:eastAsia="Times New Roman" w:hAnsi="Arial" w:cs="Arial"/>
          <w:sz w:val="21"/>
          <w:szCs w:val="21"/>
          <w:lang w:eastAsia="fo-FO"/>
        </w:rPr>
        <w:t>byggistig</w:t>
      </w:r>
    </w:p>
    <w:p w:rsidR="00946B3A" w:rsidRPr="00810F65" w:rsidRDefault="00946B3A" w:rsidP="00946B3A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810F65">
        <w:rPr>
          <w:rFonts w:ascii="Arial" w:eastAsia="Times New Roman" w:hAnsi="Arial" w:cs="Arial"/>
          <w:sz w:val="21"/>
          <w:szCs w:val="21"/>
          <w:lang w:eastAsia="fo-FO"/>
        </w:rPr>
        <w:t>nýtslustig</w:t>
      </w:r>
    </w:p>
    <w:tbl>
      <w:tblPr>
        <w:tblpPr w:leftFromText="180" w:rightFromText="180" w:vertAnchor="text" w:horzAnchor="page" w:tblpX="7507" w:tblpY="9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37"/>
      </w:tblGrid>
      <w:tr w:rsidR="00946B3A" w:rsidRPr="00C2666C" w:rsidTr="00CB0D17">
        <w:trPr>
          <w:tblCellSpacing w:w="15" w:type="dxa"/>
        </w:trPr>
        <w:tc>
          <w:tcPr>
            <w:tcW w:w="0" w:type="auto"/>
            <w:vAlign w:val="center"/>
          </w:tcPr>
          <w:p w:rsidR="00946B3A" w:rsidRPr="00810F65" w:rsidRDefault="00946B3A" w:rsidP="00946B3A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fo-FO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946B3A" w:rsidRPr="00C2666C" w:rsidTr="00CB0D1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46B3A" w:rsidRPr="00810F65" w:rsidRDefault="00946B3A" w:rsidP="00BD6838">
                  <w:pPr>
                    <w:pStyle w:val="Listeafsnit"/>
                    <w:framePr w:hSpace="180" w:wrap="around" w:vAnchor="text" w:hAnchor="page" w:x="7507" w:y="92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21"/>
                      <w:szCs w:val="21"/>
                      <w:lang w:eastAsia="fo-F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A" w:rsidRPr="00810F65" w:rsidRDefault="00946B3A" w:rsidP="00BD6838">
                  <w:pPr>
                    <w:pStyle w:val="Listeafsnit"/>
                    <w:framePr w:hSpace="180" w:wrap="around" w:vAnchor="text" w:hAnchor="page" w:x="7507" w:y="92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21"/>
                      <w:szCs w:val="21"/>
                      <w:lang w:eastAsia="fo-FO"/>
                    </w:rPr>
                  </w:pPr>
                </w:p>
              </w:tc>
            </w:tr>
            <w:tr w:rsidR="00946B3A" w:rsidRPr="00C2666C" w:rsidTr="00CB0D1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46B3A" w:rsidRPr="00810F65" w:rsidRDefault="00946B3A" w:rsidP="00BD6838">
                  <w:pPr>
                    <w:pStyle w:val="Listeafsnit"/>
                    <w:framePr w:hSpace="180" w:wrap="around" w:vAnchor="text" w:hAnchor="page" w:x="7507" w:y="92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21"/>
                      <w:szCs w:val="21"/>
                      <w:lang w:eastAsia="fo-F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A" w:rsidRPr="00810F65" w:rsidRDefault="00946B3A" w:rsidP="00BD6838">
                  <w:pPr>
                    <w:pStyle w:val="Listeafsnit"/>
                    <w:framePr w:hSpace="180" w:wrap="around" w:vAnchor="text" w:hAnchor="page" w:x="7507" w:y="92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o-FO"/>
                    </w:rPr>
                  </w:pPr>
                </w:p>
              </w:tc>
            </w:tr>
          </w:tbl>
          <w:p w:rsidR="00946B3A" w:rsidRPr="00C2666C" w:rsidRDefault="00946B3A" w:rsidP="00CB0D17">
            <w:pPr>
              <w:spacing w:after="0" w:line="240" w:lineRule="auto"/>
              <w:ind w:firstLine="60"/>
              <w:rPr>
                <w:rFonts w:ascii="Arial" w:eastAsia="Times New Roman" w:hAnsi="Arial" w:cs="Arial"/>
                <w:color w:val="404040"/>
                <w:sz w:val="21"/>
                <w:szCs w:val="21"/>
                <w:lang w:eastAsia="fo-FO"/>
              </w:rPr>
            </w:pPr>
          </w:p>
        </w:tc>
      </w:tr>
      <w:tr w:rsidR="00946B3A" w:rsidRPr="00C2666C" w:rsidTr="00CB0D17">
        <w:trPr>
          <w:tblCellSpacing w:w="15" w:type="dxa"/>
        </w:trPr>
        <w:tc>
          <w:tcPr>
            <w:tcW w:w="0" w:type="auto"/>
            <w:vAlign w:val="center"/>
          </w:tcPr>
          <w:p w:rsidR="00946B3A" w:rsidRPr="00810F65" w:rsidRDefault="00946B3A" w:rsidP="00946B3A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fo-FO"/>
              </w:rPr>
            </w:pPr>
          </w:p>
        </w:tc>
        <w:tc>
          <w:tcPr>
            <w:tcW w:w="0" w:type="auto"/>
            <w:vAlign w:val="center"/>
            <w:hideMark/>
          </w:tcPr>
          <w:p w:rsidR="00946B3A" w:rsidRPr="00810F65" w:rsidRDefault="00946B3A" w:rsidP="00946B3A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</w:tbl>
    <w:p w:rsidR="00946B3A" w:rsidRPr="00810F65" w:rsidRDefault="00946B3A" w:rsidP="00946B3A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o</w:t>
      </w:r>
      <w:r w:rsidRPr="00810F65">
        <w:rPr>
          <w:rFonts w:ascii="Arial" w:eastAsia="Times New Roman" w:hAnsi="Arial" w:cs="Arial"/>
          <w:sz w:val="21"/>
          <w:szCs w:val="21"/>
          <w:lang w:eastAsia="fo-FO"/>
        </w:rPr>
        <w:t>rkukarmar</w:t>
      </w:r>
    </w:p>
    <w:p w:rsidR="00946B3A" w:rsidRPr="00810F65" w:rsidRDefault="00946B3A" w:rsidP="00946B3A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b</w:t>
      </w:r>
      <w:r w:rsidRPr="00810F65">
        <w:rPr>
          <w:rFonts w:ascii="Arial" w:eastAsia="Times New Roman" w:hAnsi="Arial" w:cs="Arial"/>
          <w:sz w:val="21"/>
          <w:szCs w:val="21"/>
          <w:lang w:eastAsia="fo-FO"/>
        </w:rPr>
        <w:t>jálvingarloysn</w:t>
      </w:r>
    </w:p>
    <w:p w:rsidR="00946B3A" w:rsidRPr="00810F65" w:rsidRDefault="00946B3A" w:rsidP="00946B3A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s</w:t>
      </w:r>
      <w:r w:rsidRPr="00810F65">
        <w:rPr>
          <w:rFonts w:ascii="Arial" w:eastAsia="Times New Roman" w:hAnsi="Arial" w:cs="Arial"/>
          <w:sz w:val="21"/>
          <w:szCs w:val="21"/>
          <w:lang w:eastAsia="fo-FO"/>
        </w:rPr>
        <w:t>tatiskar útrokningar (bert í serligum førum)</w:t>
      </w:r>
    </w:p>
    <w:tbl>
      <w:tblPr>
        <w:tblpPr w:leftFromText="180" w:rightFromText="180" w:vertAnchor="text" w:horzAnchor="page" w:tblpX="7507" w:tblpY="9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</w:tblGrid>
      <w:tr w:rsidR="00946B3A" w:rsidRPr="00C2666C" w:rsidTr="00CB0D17">
        <w:trPr>
          <w:tblCellSpacing w:w="15" w:type="dxa"/>
        </w:trPr>
        <w:tc>
          <w:tcPr>
            <w:tcW w:w="2679" w:type="dxa"/>
            <w:vAlign w:val="center"/>
          </w:tcPr>
          <w:p w:rsidR="00946B3A" w:rsidRPr="00C2666C" w:rsidRDefault="00946B3A" w:rsidP="00CB0D1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fo-FO"/>
              </w:rPr>
            </w:pPr>
          </w:p>
        </w:tc>
      </w:tr>
    </w:tbl>
    <w:p w:rsidR="00946B3A" w:rsidRPr="00E17657" w:rsidRDefault="00946B3A" w:rsidP="00946B3A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 w:rsidRPr="00E17657">
        <w:rPr>
          <w:rFonts w:ascii="Arial" w:eastAsia="Times New Roman" w:hAnsi="Arial" w:cs="Arial"/>
          <w:b/>
          <w:sz w:val="21"/>
          <w:szCs w:val="21"/>
          <w:lang w:eastAsia="fo-FO"/>
        </w:rPr>
        <w:t>Broytingar í verkætlanini</w:t>
      </w:r>
    </w:p>
    <w:p w:rsidR="00946B3A" w:rsidRDefault="00946B3A" w:rsidP="00946B3A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Um broytingar verða gjørdar í verkætlanini, eftir at loyvið er givið, skal kommunali byggimyndu</w:t>
      </w:r>
      <w:r w:rsidR="00BA5BD3">
        <w:rPr>
          <w:rFonts w:ascii="Arial" w:eastAsia="Times New Roman" w:hAnsi="Arial" w:cs="Arial"/>
          <w:sz w:val="21"/>
          <w:szCs w:val="21"/>
          <w:lang w:eastAsia="fo-FO"/>
        </w:rPr>
        <w:t>g</w:t>
      </w:r>
      <w:r w:rsidR="00514C58">
        <w:rPr>
          <w:rFonts w:ascii="Arial" w:eastAsia="Times New Roman" w:hAnsi="Arial" w:cs="Arial"/>
          <w:sz w:val="21"/>
          <w:szCs w:val="21"/>
          <w:lang w:eastAsia="fo-FO"/>
        </w:rPr>
        <w:t>leikin hava boð hetta</w:t>
      </w:r>
      <w:r>
        <w:rPr>
          <w:rFonts w:ascii="Arial" w:eastAsia="Times New Roman" w:hAnsi="Arial" w:cs="Arial"/>
          <w:sz w:val="21"/>
          <w:szCs w:val="21"/>
          <w:lang w:eastAsia="fo-FO"/>
        </w:rPr>
        <w:t>, so støða kann takast</w:t>
      </w:r>
      <w:r w:rsidR="00EE1DC7">
        <w:rPr>
          <w:rFonts w:ascii="Arial" w:eastAsia="Times New Roman" w:hAnsi="Arial" w:cs="Arial"/>
          <w:sz w:val="21"/>
          <w:szCs w:val="21"/>
          <w:lang w:eastAsia="fo-FO"/>
        </w:rPr>
        <w:t xml:space="preserve"> til,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um byggiloyvið framvegis er galdandi, ella søkjast skal av nýggjum.</w:t>
      </w:r>
    </w:p>
    <w:p w:rsidR="00DC104C" w:rsidRDefault="00DC104C" w:rsidP="00946B3A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</w:p>
    <w:p w:rsidR="00DC104C" w:rsidRDefault="00DC104C" w:rsidP="00946B3A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</w:p>
    <w:p w:rsidR="00DC104C" w:rsidRDefault="00DC104C" w:rsidP="00946B3A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</w:p>
    <w:p w:rsidR="00946B3A" w:rsidRPr="00E17657" w:rsidRDefault="00946B3A" w:rsidP="00946B3A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 w:rsidRPr="00E17657">
        <w:rPr>
          <w:rFonts w:ascii="Arial" w:eastAsia="Times New Roman" w:hAnsi="Arial" w:cs="Arial"/>
          <w:b/>
          <w:sz w:val="21"/>
          <w:szCs w:val="21"/>
          <w:lang w:eastAsia="fo-FO"/>
        </w:rPr>
        <w:t>Eftirlit:</w:t>
      </w:r>
    </w:p>
    <w:p w:rsidR="00946B3A" w:rsidRDefault="00946B3A" w:rsidP="00946B3A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Kommunali byggimynduleikin hevur eftirlit við , at bygt verður eftir ásetingunum</w:t>
      </w:r>
      <w:r w:rsidR="00EE1DC7">
        <w:rPr>
          <w:rFonts w:ascii="Arial" w:eastAsia="Times New Roman" w:hAnsi="Arial" w:cs="Arial"/>
          <w:sz w:val="21"/>
          <w:szCs w:val="21"/>
          <w:lang w:eastAsia="fo-FO"/>
        </w:rPr>
        <w:t>,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og at treytirnar verða hildnar.</w:t>
      </w:r>
    </w:p>
    <w:p w:rsidR="00946B3A" w:rsidRDefault="00946B3A" w:rsidP="00946B3A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Hetta</w:t>
      </w:r>
      <w:r w:rsidR="00514C58">
        <w:rPr>
          <w:rFonts w:ascii="Arial" w:eastAsia="Times New Roman" w:hAnsi="Arial" w:cs="Arial"/>
          <w:sz w:val="21"/>
          <w:szCs w:val="21"/>
          <w:lang w:eastAsia="fo-FO"/>
        </w:rPr>
        <w:t xml:space="preserve"> eftirlit verður framt við sýni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á staðnum.</w:t>
      </w:r>
    </w:p>
    <w:p w:rsidR="006E3A59" w:rsidRDefault="006E3A59" w:rsidP="00946B3A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</w:p>
    <w:p w:rsidR="006E3A59" w:rsidRDefault="006E3A59" w:rsidP="00946B3A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</w:p>
    <w:p w:rsidR="00946B3A" w:rsidRPr="00B0510A" w:rsidRDefault="00946B3A" w:rsidP="00946B3A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 w:rsidRPr="00B0510A">
        <w:rPr>
          <w:rFonts w:ascii="Arial" w:eastAsia="Times New Roman" w:hAnsi="Arial" w:cs="Arial"/>
          <w:b/>
          <w:sz w:val="21"/>
          <w:szCs w:val="21"/>
          <w:lang w:eastAsia="fo-FO"/>
        </w:rPr>
        <w:t>Dømi uppá sýn:</w:t>
      </w:r>
    </w:p>
    <w:p w:rsidR="00946B3A" w:rsidRPr="00B0510A" w:rsidRDefault="00946B3A" w:rsidP="00946B3A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s</w:t>
      </w:r>
      <w:r w:rsidRPr="00B0510A">
        <w:rPr>
          <w:rFonts w:ascii="Arial" w:eastAsia="Times New Roman" w:hAnsi="Arial" w:cs="Arial"/>
          <w:sz w:val="21"/>
          <w:szCs w:val="21"/>
          <w:lang w:eastAsia="fo-FO"/>
        </w:rPr>
        <w:t>taðseting og avseting</w:t>
      </w:r>
    </w:p>
    <w:p w:rsidR="00946B3A" w:rsidRPr="00B0510A" w:rsidRDefault="00946B3A" w:rsidP="00946B3A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k</w:t>
      </w:r>
      <w:r w:rsidRPr="00B0510A">
        <w:rPr>
          <w:rFonts w:ascii="Arial" w:eastAsia="Times New Roman" w:hAnsi="Arial" w:cs="Arial"/>
          <w:sz w:val="21"/>
          <w:szCs w:val="21"/>
          <w:lang w:eastAsia="fo-FO"/>
        </w:rPr>
        <w:t>loakk v.m.</w:t>
      </w:r>
    </w:p>
    <w:p w:rsidR="00BA5BD3" w:rsidRPr="00BA5BD3" w:rsidRDefault="00946B3A" w:rsidP="00946B3A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b/>
          <w:sz w:val="21"/>
          <w:szCs w:val="21"/>
          <w:lang w:eastAsia="fo-FO"/>
        </w:rPr>
      </w:pPr>
      <w:r w:rsidRPr="00BA5BD3">
        <w:rPr>
          <w:rFonts w:ascii="Arial" w:eastAsia="Times New Roman" w:hAnsi="Arial" w:cs="Arial"/>
          <w:sz w:val="21"/>
          <w:szCs w:val="21"/>
          <w:lang w:eastAsia="fo-FO"/>
        </w:rPr>
        <w:t>endaligt byggisýn</w:t>
      </w:r>
      <w:r w:rsidR="00BA5BD3">
        <w:rPr>
          <w:rFonts w:ascii="Arial" w:eastAsia="Times New Roman" w:hAnsi="Arial" w:cs="Arial"/>
          <w:sz w:val="21"/>
          <w:szCs w:val="21"/>
          <w:lang w:eastAsia="fo-FO"/>
        </w:rPr>
        <w:t xml:space="preserve"> til nýtsluloyvi</w:t>
      </w:r>
    </w:p>
    <w:p w:rsidR="00BA5BD3" w:rsidRPr="00BA5BD3" w:rsidRDefault="00BA5BD3" w:rsidP="00BA5BD3">
      <w:pPr>
        <w:pStyle w:val="Listeafsnit"/>
        <w:rPr>
          <w:rFonts w:ascii="Arial" w:eastAsia="Times New Roman" w:hAnsi="Arial" w:cs="Arial"/>
          <w:b/>
          <w:sz w:val="21"/>
          <w:szCs w:val="21"/>
          <w:lang w:eastAsia="fo-FO"/>
        </w:rPr>
      </w:pPr>
    </w:p>
    <w:p w:rsidR="00946B3A" w:rsidRPr="00BA5BD3" w:rsidRDefault="00BA5BD3" w:rsidP="00BA5BD3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>
        <w:rPr>
          <w:rFonts w:ascii="Arial" w:eastAsia="Times New Roman" w:hAnsi="Arial" w:cs="Arial"/>
          <w:b/>
          <w:sz w:val="21"/>
          <w:szCs w:val="21"/>
          <w:lang w:eastAsia="fo-FO"/>
        </w:rPr>
        <w:t>Nýtsluloyvi</w:t>
      </w:r>
      <w:r w:rsidR="00946B3A" w:rsidRPr="00BA5BD3">
        <w:rPr>
          <w:rFonts w:ascii="Arial" w:eastAsia="Times New Roman" w:hAnsi="Arial" w:cs="Arial"/>
          <w:b/>
          <w:sz w:val="21"/>
          <w:szCs w:val="21"/>
          <w:lang w:eastAsia="fo-FO"/>
        </w:rPr>
        <w:t>:</w:t>
      </w:r>
    </w:p>
    <w:p w:rsidR="00946B3A" w:rsidRDefault="00946B3A" w:rsidP="00946B3A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Fyri at kunna taka bygning</w:t>
      </w:r>
      <w:r w:rsidR="00514C58">
        <w:rPr>
          <w:rFonts w:ascii="Arial" w:eastAsia="Times New Roman" w:hAnsi="Arial" w:cs="Arial"/>
          <w:sz w:val="21"/>
          <w:szCs w:val="21"/>
          <w:lang w:eastAsia="fo-FO"/>
        </w:rPr>
        <w:t>in í nýtslu</w:t>
      </w:r>
      <w:r w:rsidR="00BA5BD3">
        <w:rPr>
          <w:rFonts w:ascii="Arial" w:eastAsia="Times New Roman" w:hAnsi="Arial" w:cs="Arial"/>
          <w:sz w:val="21"/>
          <w:szCs w:val="21"/>
          <w:lang w:eastAsia="fo-FO"/>
        </w:rPr>
        <w:t xml:space="preserve"> krevst nýtsluloyvi</w:t>
      </w:r>
      <w:r>
        <w:rPr>
          <w:rFonts w:ascii="Arial" w:eastAsia="Times New Roman" w:hAnsi="Arial" w:cs="Arial"/>
          <w:sz w:val="21"/>
          <w:szCs w:val="21"/>
          <w:lang w:eastAsia="fo-FO"/>
        </w:rPr>
        <w:t>.</w:t>
      </w:r>
    </w:p>
    <w:p w:rsidR="00946B3A" w:rsidRDefault="00514C58" w:rsidP="00946B3A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Tá</w:t>
      </w:r>
      <w:r w:rsidR="00946B3A">
        <w:rPr>
          <w:rFonts w:ascii="Arial" w:eastAsia="Times New Roman" w:hAnsi="Arial" w:cs="Arial"/>
          <w:sz w:val="21"/>
          <w:szCs w:val="21"/>
          <w:lang w:eastAsia="fo-FO"/>
        </w:rPr>
        <w:t xml:space="preserve"> kom</w:t>
      </w:r>
      <w:r>
        <w:rPr>
          <w:rFonts w:ascii="Arial" w:eastAsia="Times New Roman" w:hAnsi="Arial" w:cs="Arial"/>
          <w:sz w:val="21"/>
          <w:szCs w:val="21"/>
          <w:lang w:eastAsia="fo-FO"/>
        </w:rPr>
        <w:t>munala byggieftirlitið við sýni</w:t>
      </w:r>
      <w:r w:rsidR="00946B3A">
        <w:rPr>
          <w:rFonts w:ascii="Arial" w:eastAsia="Times New Roman" w:hAnsi="Arial" w:cs="Arial"/>
          <w:sz w:val="21"/>
          <w:szCs w:val="21"/>
          <w:lang w:eastAsia="fo-FO"/>
        </w:rPr>
        <w:t xml:space="preserve"> hevur staðfest, at bygningurin lýkur ásetingarnar</w:t>
      </w:r>
      <w:r w:rsidR="00EE1DC7">
        <w:rPr>
          <w:rFonts w:ascii="Arial" w:eastAsia="Times New Roman" w:hAnsi="Arial" w:cs="Arial"/>
          <w:sz w:val="21"/>
          <w:szCs w:val="21"/>
          <w:lang w:eastAsia="fo-FO"/>
        </w:rPr>
        <w:t>,</w:t>
      </w:r>
      <w:r w:rsidR="00946B3A">
        <w:rPr>
          <w:rFonts w:ascii="Arial" w:eastAsia="Times New Roman" w:hAnsi="Arial" w:cs="Arial"/>
          <w:sz w:val="21"/>
          <w:szCs w:val="21"/>
          <w:lang w:eastAsia="fo-FO"/>
        </w:rPr>
        <w:t xml:space="preserve"> í</w:t>
      </w:r>
      <w:r w:rsidR="00EE1DC7">
        <w:rPr>
          <w:rFonts w:ascii="Arial" w:eastAsia="Times New Roman" w:hAnsi="Arial" w:cs="Arial"/>
          <w:sz w:val="21"/>
          <w:szCs w:val="21"/>
          <w:lang w:eastAsia="fo-FO"/>
        </w:rPr>
        <w:t>ð</w:t>
      </w:r>
      <w:r w:rsidR="00946B3A">
        <w:rPr>
          <w:rFonts w:ascii="Arial" w:eastAsia="Times New Roman" w:hAnsi="Arial" w:cs="Arial"/>
          <w:sz w:val="21"/>
          <w:szCs w:val="21"/>
          <w:lang w:eastAsia="fo-FO"/>
        </w:rPr>
        <w:t xml:space="preserve"> settar eru, kann nýtsluloyvið útskrivast.</w:t>
      </w:r>
    </w:p>
    <w:p w:rsidR="008C51A7" w:rsidRDefault="00946B3A">
      <w:r>
        <w:rPr>
          <w:rFonts w:ascii="Arial" w:eastAsia="Times New Roman" w:hAnsi="Arial" w:cs="Arial"/>
          <w:sz w:val="21"/>
          <w:szCs w:val="21"/>
          <w:lang w:eastAsia="fo-FO"/>
        </w:rPr>
        <w:t>Kommunali bygg</w:t>
      </w:r>
      <w:r w:rsidR="00BA5BD3">
        <w:rPr>
          <w:rFonts w:ascii="Arial" w:eastAsia="Times New Roman" w:hAnsi="Arial" w:cs="Arial"/>
          <w:sz w:val="21"/>
          <w:szCs w:val="21"/>
          <w:lang w:eastAsia="fo-FO"/>
        </w:rPr>
        <w:t>i</w:t>
      </w:r>
      <w:r>
        <w:rPr>
          <w:rFonts w:ascii="Arial" w:eastAsia="Times New Roman" w:hAnsi="Arial" w:cs="Arial"/>
          <w:sz w:val="21"/>
          <w:szCs w:val="21"/>
          <w:lang w:eastAsia="fo-FO"/>
        </w:rPr>
        <w:t>mynduleikin kann útskrivað fyribilsloyvi fyri partar av bygninginum, um ikki øll byggingin er liðug.</w:t>
      </w:r>
    </w:p>
    <w:sectPr w:rsidR="008C5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F7C"/>
    <w:multiLevelType w:val="hybridMultilevel"/>
    <w:tmpl w:val="FA5408E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83638"/>
    <w:multiLevelType w:val="hybridMultilevel"/>
    <w:tmpl w:val="950A2276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846D3"/>
    <w:multiLevelType w:val="hybridMultilevel"/>
    <w:tmpl w:val="B95A63F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B7E4A"/>
    <w:multiLevelType w:val="hybridMultilevel"/>
    <w:tmpl w:val="7C28AD7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A31DA"/>
    <w:multiLevelType w:val="hybridMultilevel"/>
    <w:tmpl w:val="604CA3D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16FC3"/>
    <w:multiLevelType w:val="hybridMultilevel"/>
    <w:tmpl w:val="A6C2D3A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F3B41"/>
    <w:multiLevelType w:val="hybridMultilevel"/>
    <w:tmpl w:val="D940FA3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D52B0"/>
    <w:multiLevelType w:val="hybridMultilevel"/>
    <w:tmpl w:val="C51C524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84601"/>
    <w:multiLevelType w:val="hybridMultilevel"/>
    <w:tmpl w:val="6512003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F5399"/>
    <w:multiLevelType w:val="hybridMultilevel"/>
    <w:tmpl w:val="AC1C4F4A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3A"/>
    <w:rsid w:val="00032761"/>
    <w:rsid w:val="00035572"/>
    <w:rsid w:val="00046531"/>
    <w:rsid w:val="00063FB4"/>
    <w:rsid w:val="00082444"/>
    <w:rsid w:val="00082B51"/>
    <w:rsid w:val="000A1387"/>
    <w:rsid w:val="000A3F7E"/>
    <w:rsid w:val="000B1D59"/>
    <w:rsid w:val="000D1F2B"/>
    <w:rsid w:val="001513DE"/>
    <w:rsid w:val="00154EFB"/>
    <w:rsid w:val="001722D0"/>
    <w:rsid w:val="001747BB"/>
    <w:rsid w:val="001A5B33"/>
    <w:rsid w:val="001B2AC3"/>
    <w:rsid w:val="001D5044"/>
    <w:rsid w:val="001D7A23"/>
    <w:rsid w:val="00236210"/>
    <w:rsid w:val="00292A29"/>
    <w:rsid w:val="002F12D9"/>
    <w:rsid w:val="002F3118"/>
    <w:rsid w:val="002F4CB8"/>
    <w:rsid w:val="00341EFC"/>
    <w:rsid w:val="00343660"/>
    <w:rsid w:val="00360259"/>
    <w:rsid w:val="00361F6C"/>
    <w:rsid w:val="003667B2"/>
    <w:rsid w:val="0039040B"/>
    <w:rsid w:val="00394922"/>
    <w:rsid w:val="003C371A"/>
    <w:rsid w:val="003C7701"/>
    <w:rsid w:val="00405D0F"/>
    <w:rsid w:val="0041359B"/>
    <w:rsid w:val="0045742D"/>
    <w:rsid w:val="0047250B"/>
    <w:rsid w:val="00477313"/>
    <w:rsid w:val="004778B6"/>
    <w:rsid w:val="00481544"/>
    <w:rsid w:val="00494DEA"/>
    <w:rsid w:val="004F055E"/>
    <w:rsid w:val="00506CF9"/>
    <w:rsid w:val="00512DC4"/>
    <w:rsid w:val="00513EA2"/>
    <w:rsid w:val="00514C58"/>
    <w:rsid w:val="00517911"/>
    <w:rsid w:val="005200E1"/>
    <w:rsid w:val="0055110D"/>
    <w:rsid w:val="00565888"/>
    <w:rsid w:val="00566F1E"/>
    <w:rsid w:val="00572A97"/>
    <w:rsid w:val="00574EF0"/>
    <w:rsid w:val="005752C9"/>
    <w:rsid w:val="00596DB0"/>
    <w:rsid w:val="00597198"/>
    <w:rsid w:val="0060110E"/>
    <w:rsid w:val="0060463F"/>
    <w:rsid w:val="00614769"/>
    <w:rsid w:val="006221B3"/>
    <w:rsid w:val="0063079E"/>
    <w:rsid w:val="0063139D"/>
    <w:rsid w:val="0067328C"/>
    <w:rsid w:val="006903C0"/>
    <w:rsid w:val="0069114C"/>
    <w:rsid w:val="00697345"/>
    <w:rsid w:val="006A49DE"/>
    <w:rsid w:val="006B44C6"/>
    <w:rsid w:val="006E3A59"/>
    <w:rsid w:val="006E5EC2"/>
    <w:rsid w:val="007217B9"/>
    <w:rsid w:val="007360C3"/>
    <w:rsid w:val="00747379"/>
    <w:rsid w:val="007519F2"/>
    <w:rsid w:val="007B283B"/>
    <w:rsid w:val="007B6B2B"/>
    <w:rsid w:val="007D5052"/>
    <w:rsid w:val="0085209D"/>
    <w:rsid w:val="008529E9"/>
    <w:rsid w:val="008867F7"/>
    <w:rsid w:val="00895D0C"/>
    <w:rsid w:val="008A559A"/>
    <w:rsid w:val="008C51A7"/>
    <w:rsid w:val="0091747C"/>
    <w:rsid w:val="009205E9"/>
    <w:rsid w:val="00927062"/>
    <w:rsid w:val="00942789"/>
    <w:rsid w:val="00946B3A"/>
    <w:rsid w:val="00952F01"/>
    <w:rsid w:val="00960F23"/>
    <w:rsid w:val="009617A1"/>
    <w:rsid w:val="009626CB"/>
    <w:rsid w:val="00965437"/>
    <w:rsid w:val="00980CE9"/>
    <w:rsid w:val="009839B7"/>
    <w:rsid w:val="00985C2E"/>
    <w:rsid w:val="009A07C5"/>
    <w:rsid w:val="009A3A72"/>
    <w:rsid w:val="009D28C0"/>
    <w:rsid w:val="00A35C76"/>
    <w:rsid w:val="00A4005E"/>
    <w:rsid w:val="00A4534C"/>
    <w:rsid w:val="00A71A15"/>
    <w:rsid w:val="00A86D3C"/>
    <w:rsid w:val="00A94D6D"/>
    <w:rsid w:val="00A9706D"/>
    <w:rsid w:val="00AA07DD"/>
    <w:rsid w:val="00AA6C90"/>
    <w:rsid w:val="00AB1752"/>
    <w:rsid w:val="00AF58A9"/>
    <w:rsid w:val="00B32442"/>
    <w:rsid w:val="00B5534A"/>
    <w:rsid w:val="00B73A08"/>
    <w:rsid w:val="00B974F8"/>
    <w:rsid w:val="00BA261C"/>
    <w:rsid w:val="00BA5BD3"/>
    <w:rsid w:val="00BB55BD"/>
    <w:rsid w:val="00BB60ED"/>
    <w:rsid w:val="00BB7E6B"/>
    <w:rsid w:val="00BD6838"/>
    <w:rsid w:val="00BD6E94"/>
    <w:rsid w:val="00C127C1"/>
    <w:rsid w:val="00C535B9"/>
    <w:rsid w:val="00C53832"/>
    <w:rsid w:val="00C658AE"/>
    <w:rsid w:val="00C80632"/>
    <w:rsid w:val="00CB477F"/>
    <w:rsid w:val="00CC34DB"/>
    <w:rsid w:val="00CD4124"/>
    <w:rsid w:val="00CE371D"/>
    <w:rsid w:val="00CF2B76"/>
    <w:rsid w:val="00CF636C"/>
    <w:rsid w:val="00D223CE"/>
    <w:rsid w:val="00D50EDB"/>
    <w:rsid w:val="00D54BEF"/>
    <w:rsid w:val="00D62920"/>
    <w:rsid w:val="00D90C84"/>
    <w:rsid w:val="00DB02AC"/>
    <w:rsid w:val="00DB2A7F"/>
    <w:rsid w:val="00DB702E"/>
    <w:rsid w:val="00DB743A"/>
    <w:rsid w:val="00DC104C"/>
    <w:rsid w:val="00DC440E"/>
    <w:rsid w:val="00DF4E62"/>
    <w:rsid w:val="00DF6EE7"/>
    <w:rsid w:val="00E01E38"/>
    <w:rsid w:val="00E160A8"/>
    <w:rsid w:val="00EB4D70"/>
    <w:rsid w:val="00EB7687"/>
    <w:rsid w:val="00ED6048"/>
    <w:rsid w:val="00EE1DC7"/>
    <w:rsid w:val="00F21621"/>
    <w:rsid w:val="00F25D20"/>
    <w:rsid w:val="00F44E89"/>
    <w:rsid w:val="00F64826"/>
    <w:rsid w:val="00F74C85"/>
    <w:rsid w:val="00F77D52"/>
    <w:rsid w:val="00FA7B35"/>
    <w:rsid w:val="00FB78A9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3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6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3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6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Meginfelag Búnaðrmanna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6000p</cp:lastModifiedBy>
  <cp:revision>2</cp:revision>
  <dcterms:created xsi:type="dcterms:W3CDTF">2020-03-25T10:43:00Z</dcterms:created>
  <dcterms:modified xsi:type="dcterms:W3CDTF">2020-03-25T10:43:00Z</dcterms:modified>
</cp:coreProperties>
</file>